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56BAC" w14:textId="50903CDE" w:rsidR="00005655" w:rsidRDefault="00005655" w:rsidP="00005655">
      <w:pPr>
        <w:pStyle w:val="3GPPHeader"/>
        <w:rPr>
          <w:lang w:val="en-US"/>
        </w:rPr>
      </w:pPr>
      <w:r>
        <w:rPr>
          <w:lang w:val="en-US"/>
        </w:rPr>
        <w:t>3GPP TSG-RAN WG4 Meeting #116</w:t>
      </w:r>
      <w:r>
        <w:rPr>
          <w:lang w:val="en-US"/>
        </w:rPr>
        <w:tab/>
        <w:t>R4-</w:t>
      </w:r>
      <w:r w:rsidR="002D4AF5" w:rsidRPr="002D4AF5">
        <w:rPr>
          <w:lang w:val="en-US"/>
        </w:rPr>
        <w:t>25116</w:t>
      </w:r>
      <w:r w:rsidR="002D4AF5">
        <w:rPr>
          <w:lang w:val="en-US"/>
        </w:rPr>
        <w:t>50</w:t>
      </w:r>
    </w:p>
    <w:p w14:paraId="65D058A9" w14:textId="77777777" w:rsidR="00005655" w:rsidRDefault="00005655" w:rsidP="00005655">
      <w:pPr>
        <w:pStyle w:val="3GPPHeader"/>
        <w:rPr>
          <w:lang w:val="en-US"/>
        </w:rPr>
      </w:pPr>
      <w:r>
        <w:rPr>
          <w:lang w:val="en-US"/>
        </w:rPr>
        <w:t>Bengaluru, IN, August 25 – 29, 2025</w:t>
      </w:r>
    </w:p>
    <w:p w14:paraId="0A70830B" w14:textId="391E228F" w:rsidR="0073530F" w:rsidRDefault="0073530F" w:rsidP="0073530F">
      <w:pPr>
        <w:pStyle w:val="3GPPHeader"/>
      </w:pPr>
      <w:r>
        <w:t>Agenda Item:</w:t>
      </w:r>
      <w:r>
        <w:tab/>
      </w:r>
      <w:r w:rsidR="009E2167" w:rsidRPr="009E2167">
        <w:t>7.14.3.2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D18BE7A"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r w:rsidR="00A978E4" w:rsidRPr="00A978E4">
        <w:t xml:space="preserve">by optimizing </w:t>
      </w:r>
      <w:r w:rsidR="00A86CA3">
        <w:t>CSSF</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586E4E4"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6C40D3">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6C40D3">
        <w:rPr>
          <w:lang w:val="en-US"/>
        </w:rPr>
        <w:t>is</w:t>
      </w:r>
      <w:r w:rsidR="008B74B7">
        <w:rPr>
          <w:lang w:val="en-US"/>
        </w:rPr>
        <w:t xml:space="preserve"> captured </w:t>
      </w:r>
      <w:r w:rsidR="00DD22FB">
        <w:rPr>
          <w:lang w:val="en-US"/>
        </w:rPr>
        <w:t>below</w:t>
      </w:r>
      <w:r w:rsidR="006C40D3">
        <w:rPr>
          <w:lang w:val="en-US"/>
        </w:rPr>
        <w:t xml:space="preserve"> in the WID</w:t>
      </w:r>
      <w:r w:rsidR="00D42529">
        <w:rPr>
          <w:lang w:val="en-US"/>
        </w:rPr>
        <w:t xml:space="preserve"> </w:t>
      </w:r>
      <w:r w:rsidR="00D42529">
        <w:rPr>
          <w:lang w:val="en-US"/>
        </w:rPr>
        <w:fldChar w:fldCharType="begin"/>
      </w:r>
      <w:r w:rsidR="00D42529">
        <w:rPr>
          <w:lang w:val="en-US"/>
        </w:rPr>
        <w:instrText xml:space="preserve"> REF _Ref179206982 \n \h </w:instrText>
      </w:r>
      <w:r w:rsidR="00D42529">
        <w:rPr>
          <w:lang w:val="en-US"/>
        </w:rPr>
      </w:r>
      <w:r w:rsidR="00D42529">
        <w:rPr>
          <w:lang w:val="en-US"/>
        </w:rPr>
        <w:fldChar w:fldCharType="separate"/>
      </w:r>
      <w:r w:rsidR="00D42529">
        <w:rPr>
          <w:lang w:val="en-US"/>
        </w:rPr>
        <w:t>[1]</w:t>
      </w:r>
      <w:r w:rsidR="00D42529">
        <w:rPr>
          <w:lang w:val="en-US"/>
        </w:rPr>
        <w:fldChar w:fldCharType="end"/>
      </w:r>
      <w:r w:rsidR="008B74B7">
        <w:rPr>
          <w:lang w:val="en-US"/>
        </w:rPr>
        <w:t>.</w:t>
      </w:r>
      <w:r>
        <w:rPr>
          <w:lang w:val="en-US"/>
        </w:rPr>
        <w:t xml:space="preserve"> In this </w:t>
      </w:r>
      <w:r w:rsidR="00A978E4">
        <w:rPr>
          <w:lang w:val="en-US"/>
        </w:rPr>
        <w:t>paper</w:t>
      </w:r>
      <w:r>
        <w:rPr>
          <w:lang w:val="en-US"/>
        </w:rPr>
        <w:t xml:space="preserve">, we </w:t>
      </w:r>
      <w:r w:rsidR="00A978E4">
        <w:rPr>
          <w:lang w:val="en-US"/>
        </w:rPr>
        <w:t xml:space="preserve">continue the </w:t>
      </w:r>
      <w:r>
        <w:rPr>
          <w:lang w:val="en-US"/>
        </w:rPr>
        <w:t>discuss</w:t>
      </w:r>
      <w:r w:rsidR="00A978E4">
        <w:rPr>
          <w:lang w:val="en-US"/>
        </w:rPr>
        <w:t>ion</w:t>
      </w:r>
      <w:r w:rsidR="00F6176D">
        <w:rPr>
          <w:lang w:val="en-US"/>
        </w:rPr>
        <w:t xml:space="preserve"> on</w:t>
      </w:r>
      <w:r>
        <w:rPr>
          <w:lang w:val="en-US"/>
        </w:rPr>
        <w:t xml:space="preserve"> </w:t>
      </w:r>
      <w:r w:rsidR="00F007AB">
        <w:rPr>
          <w:lang w:val="en-US"/>
        </w:rPr>
        <w:t xml:space="preserve">remaining issues for </w:t>
      </w:r>
      <w:r>
        <w:rPr>
          <w:lang w:val="en-US"/>
        </w:rPr>
        <w:t>the first objective</w:t>
      </w:r>
      <w:r w:rsidR="00F6176D">
        <w:rPr>
          <w:lang w:val="en-US"/>
        </w:rPr>
        <w:t xml:space="preserve">, particularly on optimizing </w:t>
      </w:r>
      <w:r w:rsidR="00744219" w:rsidRPr="00744219">
        <w:rPr>
          <w:lang w:val="en-US"/>
        </w:rPr>
        <w:t xml:space="preserve">CSSF outside gap in CA/DC scenarios </w:t>
      </w:r>
      <w:r w:rsidR="00F6176D">
        <w:rPr>
          <w:lang w:val="en-US"/>
        </w:rPr>
        <w:t>for L3 measurement delay reduction.</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1314BA03" w14:textId="77777777" w:rsidR="00D42529" w:rsidRDefault="00D42529" w:rsidP="00D42529">
            <w:pPr>
              <w:pStyle w:val="ListParagraph"/>
              <w:numPr>
                <w:ilvl w:val="0"/>
                <w:numId w:val="41"/>
              </w:numPr>
              <w:overflowPunct w:val="0"/>
              <w:autoSpaceDE w:val="0"/>
              <w:autoSpaceDN w:val="0"/>
              <w:adjustRightInd w:val="0"/>
              <w:spacing w:after="120" w:line="240" w:lineRule="auto"/>
              <w:contextualSpacing/>
              <w:jc w:val="both"/>
              <w:rPr>
                <w:rFonts w:ascii="Times New Roman" w:eastAsia="SimSun" w:hAnsi="Times New Roman" w:cs="Times New Roman"/>
                <w:kern w:val="0"/>
                <w:sz w:val="20"/>
                <w:szCs w:val="20"/>
                <w:lang w:val="en-US"/>
                <w14:ligatures w14:val="none"/>
              </w:rPr>
            </w:pPr>
            <w:r>
              <w:t xml:space="preserve">FR2-1 SSB based L3 measurement delay reduction for connected </w:t>
            </w:r>
            <w:proofErr w:type="gramStart"/>
            <w:r>
              <w:t>mode</w:t>
            </w:r>
            <w:proofErr w:type="gramEnd"/>
          </w:p>
          <w:p w14:paraId="1D30D1BE" w14:textId="77777777" w:rsidR="00D42529" w:rsidRDefault="00D42529" w:rsidP="00D42529">
            <w:pPr>
              <w:numPr>
                <w:ilvl w:val="1"/>
                <w:numId w:val="41"/>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74EB38E4" w14:textId="77777777" w:rsidR="00D42529" w:rsidRDefault="00D42529" w:rsidP="00D42529">
            <w:pPr>
              <w:numPr>
                <w:ilvl w:val="2"/>
                <w:numId w:val="41"/>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EF27EFB" w14:textId="00BB5B7C" w:rsidR="00D42529" w:rsidRDefault="00D42529" w:rsidP="00D42529">
            <w:pPr>
              <w:numPr>
                <w:ilvl w:val="3"/>
                <w:numId w:val="41"/>
              </w:numPr>
              <w:overflowPunct w:val="0"/>
              <w:autoSpaceDE w:val="0"/>
              <w:autoSpaceDN w:val="0"/>
              <w:adjustRightInd w:val="0"/>
              <w:spacing w:after="120" w:line="240" w:lineRule="auto"/>
              <w:rPr>
                <w:strike/>
                <w:lang w:val="en-US"/>
              </w:rPr>
            </w:pPr>
            <w:r>
              <w:rPr>
                <w:lang w:val="en-US"/>
              </w:rPr>
              <w:t xml:space="preserve">Rx beam sweeping </w:t>
            </w:r>
            <w:proofErr w:type="gramStart"/>
            <w:r>
              <w:rPr>
                <w:lang w:val="en-US"/>
              </w:rPr>
              <w:t>factor</w:t>
            </w:r>
            <w:proofErr w:type="gramEnd"/>
          </w:p>
          <w:p w14:paraId="37FE62A3" w14:textId="77777777" w:rsidR="00D42529" w:rsidRPr="006C40D3" w:rsidRDefault="00D42529" w:rsidP="00D42529">
            <w:pPr>
              <w:numPr>
                <w:ilvl w:val="1"/>
                <w:numId w:val="41"/>
              </w:numPr>
              <w:overflowPunct w:val="0"/>
              <w:autoSpaceDE w:val="0"/>
              <w:autoSpaceDN w:val="0"/>
              <w:adjustRightInd w:val="0"/>
              <w:spacing w:after="120" w:line="240" w:lineRule="auto"/>
              <w:rPr>
                <w:highlight w:val="yellow"/>
                <w:lang w:val="en-US"/>
              </w:rPr>
            </w:pPr>
            <w:r w:rsidRPr="006C40D3">
              <w:rPr>
                <w:rFonts w:ascii="Times" w:hAnsi="Times"/>
                <w:szCs w:val="24"/>
                <w:highlight w:val="yellow"/>
                <w:lang w:val="en-US"/>
              </w:rPr>
              <w:t>The CSSF requirement optimization is defined assuming a UE not operating with multiple-Rx based simultaneous L3 measurement:</w:t>
            </w:r>
          </w:p>
          <w:p w14:paraId="351AE002" w14:textId="77777777" w:rsidR="00D42529" w:rsidRPr="006C40D3" w:rsidRDefault="00D42529" w:rsidP="00D42529">
            <w:pPr>
              <w:numPr>
                <w:ilvl w:val="2"/>
                <w:numId w:val="41"/>
              </w:numPr>
              <w:overflowPunct w:val="0"/>
              <w:autoSpaceDE w:val="0"/>
              <w:autoSpaceDN w:val="0"/>
              <w:adjustRightInd w:val="0"/>
              <w:spacing w:after="120" w:line="240" w:lineRule="auto"/>
              <w:rPr>
                <w:highlight w:val="yellow"/>
                <w:lang w:val="en-US"/>
              </w:rPr>
            </w:pPr>
            <w:r w:rsidRPr="006C40D3">
              <w:rPr>
                <w:highlight w:val="yellow"/>
                <w:lang w:val="en-US"/>
              </w:rPr>
              <w:t xml:space="preserve">Study </w:t>
            </w:r>
            <w:r w:rsidRPr="006C40D3">
              <w:rPr>
                <w:rFonts w:eastAsia="DengXian"/>
                <w:highlight w:val="yellow"/>
                <w:lang w:val="en-US"/>
              </w:rPr>
              <w:t xml:space="preserve">suitable scenarios and conditions </w:t>
            </w:r>
            <w:r w:rsidRPr="006C40D3">
              <w:rPr>
                <w:highlight w:val="yellow"/>
                <w:lang w:val="en-US"/>
              </w:rPr>
              <w:t xml:space="preserve">and, if feasible, </w:t>
            </w:r>
            <w:r w:rsidRPr="006C40D3">
              <w:rPr>
                <w:rFonts w:eastAsia="DengXian"/>
                <w:highlight w:val="yellow"/>
                <w:lang w:val="en-US"/>
              </w:rPr>
              <w:t>introduce methods</w:t>
            </w:r>
            <w:r w:rsidRPr="006C40D3">
              <w:rPr>
                <w:highlight w:val="yellow"/>
                <w:lang w:val="en-US"/>
              </w:rPr>
              <w:t xml:space="preserve"> to reduce </w:t>
            </w:r>
            <w:r w:rsidRPr="006C40D3">
              <w:rPr>
                <w:highlight w:val="yellow"/>
              </w:rPr>
              <w:t>FR2-1 L3</w:t>
            </w:r>
            <w:r w:rsidRPr="006C40D3">
              <w:rPr>
                <w:rFonts w:eastAsia="DengXian"/>
                <w:highlight w:val="yellow"/>
              </w:rPr>
              <w:t xml:space="preserve"> </w:t>
            </w:r>
            <w:r w:rsidRPr="006C40D3">
              <w:rPr>
                <w:highlight w:val="yellow"/>
              </w:rPr>
              <w:t>measurement delay</w:t>
            </w:r>
            <w:r w:rsidRPr="006C40D3">
              <w:rPr>
                <w:highlight w:val="yellow"/>
                <w:lang w:val="en-US"/>
              </w:rPr>
              <w:t xml:space="preserve"> by optimizing:</w:t>
            </w:r>
          </w:p>
          <w:p w14:paraId="63106991" w14:textId="77777777" w:rsidR="00D42529" w:rsidRPr="006C40D3" w:rsidRDefault="00D42529" w:rsidP="00D42529">
            <w:pPr>
              <w:numPr>
                <w:ilvl w:val="3"/>
                <w:numId w:val="41"/>
              </w:numPr>
              <w:overflowPunct w:val="0"/>
              <w:autoSpaceDE w:val="0"/>
              <w:autoSpaceDN w:val="0"/>
              <w:adjustRightInd w:val="0"/>
              <w:spacing w:after="120" w:line="240" w:lineRule="auto"/>
              <w:rPr>
                <w:rFonts w:eastAsia="Batang"/>
                <w:highlight w:val="yellow"/>
                <w:lang w:val="en-US" w:eastAsia="en-US"/>
              </w:rPr>
            </w:pPr>
            <w:r w:rsidRPr="006C40D3">
              <w:rPr>
                <w:rFonts w:eastAsia="DengXian"/>
                <w:highlight w:val="yellow"/>
                <w:lang w:val="en-US"/>
              </w:rPr>
              <w:t xml:space="preserve"> CSSF outside gap in CA/DC scenarios </w:t>
            </w:r>
          </w:p>
          <w:p w14:paraId="07AECC67" w14:textId="77777777" w:rsidR="00D42529" w:rsidRPr="006C40D3" w:rsidRDefault="00D42529" w:rsidP="00D42529">
            <w:pPr>
              <w:numPr>
                <w:ilvl w:val="4"/>
                <w:numId w:val="42"/>
              </w:numPr>
              <w:overflowPunct w:val="0"/>
              <w:autoSpaceDE w:val="0"/>
              <w:autoSpaceDN w:val="0"/>
              <w:adjustRightInd w:val="0"/>
              <w:spacing w:after="120" w:line="240" w:lineRule="auto"/>
              <w:rPr>
                <w:rFonts w:eastAsia="Batang"/>
                <w:highlight w:val="yellow"/>
                <w:lang w:val="en-US"/>
              </w:rPr>
            </w:pPr>
            <w:r w:rsidRPr="006C40D3">
              <w:rPr>
                <w:rFonts w:eastAsia="DengXian"/>
                <w:highlight w:val="yellow"/>
                <w:lang w:val="en-US"/>
              </w:rPr>
              <w:t xml:space="preserve">Baseline assumption on number of searchers is </w:t>
            </w:r>
            <w:proofErr w:type="gramStart"/>
            <w:r w:rsidRPr="006C40D3">
              <w:rPr>
                <w:rFonts w:eastAsia="DengXian"/>
                <w:highlight w:val="yellow"/>
                <w:lang w:val="en-US"/>
              </w:rPr>
              <w:t>2</w:t>
            </w:r>
            <w:proofErr w:type="gramEnd"/>
          </w:p>
          <w:p w14:paraId="57E42E09" w14:textId="77777777" w:rsidR="00D42529" w:rsidRDefault="00D42529" w:rsidP="00D42529">
            <w:pPr>
              <w:numPr>
                <w:ilvl w:val="2"/>
                <w:numId w:val="42"/>
              </w:numPr>
              <w:overflowPunct w:val="0"/>
              <w:autoSpaceDE w:val="0"/>
              <w:autoSpaceDN w:val="0"/>
              <w:adjustRightInd w:val="0"/>
              <w:spacing w:after="120" w:line="240" w:lineRule="auto"/>
              <w:rPr>
                <w:rFonts w:eastAsia="Batang"/>
                <w:lang w:val="en-US"/>
              </w:rPr>
            </w:pPr>
            <w:r>
              <w:rPr>
                <w:rFonts w:eastAsia="DengXian"/>
                <w:lang w:val="en-US"/>
              </w:rPr>
              <w:t>Note: Rel-19 CSSF optimization applies for CA/DC scenario independently of the UE support of multi-Rx capabilities.</w:t>
            </w:r>
          </w:p>
          <w:p w14:paraId="67C6E5F6" w14:textId="77777777" w:rsidR="00D42529" w:rsidRDefault="00D42529" w:rsidP="00D42529">
            <w:pPr>
              <w:numPr>
                <w:ilvl w:val="0"/>
                <w:numId w:val="41"/>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5470EE46"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0B71E074" w14:textId="77777777" w:rsid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1C3CAD0B" w:rsidR="00A54369" w:rsidRPr="00D42529" w:rsidRDefault="00D42529" w:rsidP="00D42529">
            <w:pPr>
              <w:pStyle w:val="ListParagraph"/>
              <w:numPr>
                <w:ilvl w:val="1"/>
                <w:numId w:val="41"/>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319AA751" w14:textId="12753E8E" w:rsidR="001B36B2" w:rsidRDefault="00F007AB" w:rsidP="004F0AE8">
      <w:pPr>
        <w:jc w:val="both"/>
        <w:rPr>
          <w:lang w:val="en-US"/>
        </w:rPr>
      </w:pPr>
      <w:r>
        <w:rPr>
          <w:lang w:val="en-US"/>
        </w:rPr>
        <w:t>In the last meeting, RAN4 further discussed</w:t>
      </w:r>
      <w:r w:rsidR="001B36B2">
        <w:rPr>
          <w:lang w:val="en-US"/>
        </w:rPr>
        <w:t xml:space="preserve"> the following issues but did not conclude as shown below from WF </w:t>
      </w:r>
      <w:r w:rsidR="001B36B2">
        <w:rPr>
          <w:lang w:val="en-US"/>
        </w:rPr>
        <w:fldChar w:fldCharType="begin"/>
      </w:r>
      <w:r w:rsidR="001B36B2">
        <w:rPr>
          <w:lang w:val="en-US"/>
        </w:rPr>
        <w:instrText xml:space="preserve"> REF _Ref182018765 \r \h </w:instrText>
      </w:r>
      <w:r w:rsidR="001B36B2">
        <w:rPr>
          <w:lang w:val="en-US"/>
        </w:rPr>
      </w:r>
      <w:r w:rsidR="001B36B2">
        <w:rPr>
          <w:lang w:val="en-US"/>
        </w:rPr>
        <w:fldChar w:fldCharType="separate"/>
      </w:r>
      <w:r w:rsidR="001B36B2">
        <w:rPr>
          <w:lang w:val="en-US"/>
        </w:rPr>
        <w:t>[2]</w:t>
      </w:r>
      <w:r w:rsidR="001B36B2">
        <w:rPr>
          <w:lang w:val="en-US"/>
        </w:rPr>
        <w:fldChar w:fldCharType="end"/>
      </w:r>
      <w:r w:rsidR="001B36B2">
        <w:rPr>
          <w:lang w:val="en-US"/>
        </w:rPr>
        <w:t>:</w:t>
      </w:r>
    </w:p>
    <w:p w14:paraId="1781D2B1" w14:textId="1D3CF05F" w:rsidR="00F007AB" w:rsidRDefault="00F007AB" w:rsidP="004F0AE8">
      <w:pPr>
        <w:jc w:val="both"/>
        <w:rPr>
          <w:lang w:val="en-US"/>
        </w:rPr>
      </w:pPr>
    </w:p>
    <w:tbl>
      <w:tblPr>
        <w:tblStyle w:val="TableGrid"/>
        <w:tblW w:w="0" w:type="auto"/>
        <w:tblLook w:val="04A0" w:firstRow="1" w:lastRow="0" w:firstColumn="1" w:lastColumn="0" w:noHBand="0" w:noVBand="1"/>
      </w:tblPr>
      <w:tblGrid>
        <w:gridCol w:w="9629"/>
      </w:tblGrid>
      <w:tr w:rsidR="00F007AB" w14:paraId="67771E75" w14:textId="77777777" w:rsidTr="00F007AB">
        <w:tc>
          <w:tcPr>
            <w:tcW w:w="9629" w:type="dxa"/>
          </w:tcPr>
          <w:p w14:paraId="5D5C19D0" w14:textId="55F2A7E8" w:rsidR="001B36B2" w:rsidRPr="001B36B2" w:rsidRDefault="001B36B2" w:rsidP="001B36B2">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lastRenderedPageBreak/>
              <w:t xml:space="preserve">Issue 1-1-2: Clarify the network indication solution in solution </w:t>
            </w:r>
            <w:proofErr w:type="gramStart"/>
            <w:r>
              <w:rPr>
                <w:b/>
                <w:color w:val="0070C0"/>
                <w:u w:val="single"/>
                <w:lang w:eastAsia="ko-KR"/>
              </w:rPr>
              <w:t>1</w:t>
            </w:r>
            <w:proofErr w:type="gramEnd"/>
            <w:r>
              <w:rPr>
                <w:b/>
                <w:color w:val="0070C0"/>
                <w:u w:val="single"/>
                <w:lang w:eastAsia="ko-KR"/>
              </w:rPr>
              <w:t xml:space="preserve"> </w:t>
            </w:r>
          </w:p>
          <w:p w14:paraId="315717EE" w14:textId="77777777" w:rsidR="001B36B2" w:rsidRDefault="001B36B2" w:rsidP="001B36B2">
            <w:pPr>
              <w:pStyle w:val="ListParagraph"/>
              <w:numPr>
                <w:ilvl w:val="0"/>
                <w:numId w:val="63"/>
              </w:numPr>
              <w:autoSpaceDN w:val="0"/>
              <w:spacing w:after="120" w:line="240" w:lineRule="auto"/>
              <w:ind w:left="360"/>
              <w:rPr>
                <w:rFonts w:eastAsia="SimSun"/>
              </w:rPr>
            </w:pPr>
            <w:r>
              <w:rPr>
                <w:rFonts w:eastAsia="SimSun"/>
              </w:rPr>
              <w:t>Option 1 (OPPO): RAN4 to discuss the potential revision on network indication requests of solution 1, and if agreed, send LS to RAN2 for update.</w:t>
            </w:r>
          </w:p>
          <w:p w14:paraId="753DD75B" w14:textId="77777777" w:rsidR="001B36B2" w:rsidRDefault="001B36B2" w:rsidP="001B36B2">
            <w:pPr>
              <w:pStyle w:val="ListParagraph"/>
              <w:numPr>
                <w:ilvl w:val="0"/>
                <w:numId w:val="63"/>
              </w:numPr>
              <w:autoSpaceDN w:val="0"/>
              <w:spacing w:after="120" w:line="240" w:lineRule="auto"/>
              <w:ind w:left="360"/>
              <w:rPr>
                <w:rFonts w:eastAsia="SimSun"/>
              </w:rPr>
            </w:pPr>
            <w:r>
              <w:rPr>
                <w:rFonts w:eastAsia="SimSun"/>
              </w:rPr>
              <w:t>Option 2 (Apple, CATT): network indication to enable/disable this CSSF enhancement of solution 1 can be semi-static while network indication of a specific SCC per-band for measurement can be dynamic.</w:t>
            </w:r>
          </w:p>
          <w:p w14:paraId="607BAC5A" w14:textId="77777777" w:rsidR="001B36B2" w:rsidRDefault="001B36B2" w:rsidP="001B36B2">
            <w:pPr>
              <w:pStyle w:val="ListParagraph"/>
              <w:numPr>
                <w:ilvl w:val="1"/>
                <w:numId w:val="63"/>
              </w:numPr>
              <w:autoSpaceDN w:val="0"/>
              <w:spacing w:after="120" w:line="240" w:lineRule="auto"/>
              <w:ind w:left="1080"/>
              <w:rPr>
                <w:rFonts w:eastAsia="SimSun"/>
              </w:rPr>
            </w:pPr>
            <w:r>
              <w:rPr>
                <w:rFonts w:eastAsia="SimSun"/>
              </w:rPr>
              <w:t xml:space="preserve">(CATT, </w:t>
            </w:r>
            <w:proofErr w:type="gramStart"/>
            <w:r>
              <w:rPr>
                <w:rFonts w:eastAsia="SimSun"/>
              </w:rPr>
              <w:t>Apple)Network</w:t>
            </w:r>
            <w:proofErr w:type="gramEnd"/>
            <w:r>
              <w:rPr>
                <w:rFonts w:eastAsia="SimSun"/>
              </w:rPr>
              <w:t xml:space="preserve"> indication of a specific SCC per-band for measurement is dynamic indication based on MAC CE.</w:t>
            </w:r>
            <w:r>
              <w:rPr>
                <w:bCs/>
                <w:sz w:val="20"/>
                <w:szCs w:val="20"/>
              </w:rPr>
              <w:t xml:space="preserve"> </w:t>
            </w:r>
          </w:p>
          <w:p w14:paraId="737B0C01" w14:textId="77777777" w:rsidR="001B36B2" w:rsidRDefault="001B36B2" w:rsidP="001B36B2">
            <w:pPr>
              <w:rPr>
                <w:b/>
                <w:color w:val="0070C0"/>
                <w:u w:val="single"/>
                <w:lang w:eastAsia="ko-KR"/>
              </w:rPr>
            </w:pPr>
          </w:p>
          <w:p w14:paraId="19DEB55B" w14:textId="17C4C9B6" w:rsidR="001B36B2" w:rsidRPr="001B36B2" w:rsidRDefault="001B36B2" w:rsidP="001B36B2">
            <w:pPr>
              <w:rPr>
                <w:rFonts w:ascii="Times New Roman" w:eastAsia="Times New Roman" w:hAnsi="Times New Roman" w:cs="Times New Roman"/>
                <w:b/>
                <w:color w:val="0070C0"/>
                <w:kern w:val="0"/>
                <w:sz w:val="24"/>
                <w:szCs w:val="24"/>
                <w:u w:val="single"/>
                <w:lang w:eastAsia="ko-KR"/>
                <w14:ligatures w14:val="none"/>
              </w:rPr>
            </w:pPr>
            <w:r>
              <w:rPr>
                <w:b/>
                <w:color w:val="0070C0"/>
                <w:u w:val="single"/>
                <w:lang w:eastAsia="ko-KR"/>
              </w:rPr>
              <w:t xml:space="preserve">Issue 1-1-3: Expand solution 1 to FR1 </w:t>
            </w:r>
            <w:proofErr w:type="gramStart"/>
            <w:r>
              <w:rPr>
                <w:b/>
                <w:color w:val="0070C0"/>
                <w:u w:val="single"/>
                <w:lang w:eastAsia="ko-KR"/>
              </w:rPr>
              <w:t>case</w:t>
            </w:r>
            <w:proofErr w:type="gramEnd"/>
          </w:p>
          <w:p w14:paraId="0FE03223" w14:textId="77777777" w:rsidR="001B36B2" w:rsidRDefault="001B36B2" w:rsidP="001B36B2">
            <w:pPr>
              <w:pStyle w:val="ListParagraph"/>
              <w:numPr>
                <w:ilvl w:val="0"/>
                <w:numId w:val="63"/>
              </w:numPr>
              <w:autoSpaceDN w:val="0"/>
              <w:spacing w:after="120" w:line="240" w:lineRule="auto"/>
              <w:ind w:left="360"/>
              <w:rPr>
                <w:rFonts w:eastAsia="SimSun"/>
              </w:rPr>
            </w:pPr>
            <w:r>
              <w:rPr>
                <w:rFonts w:eastAsia="SimSun"/>
              </w:rPr>
              <w:t xml:space="preserve">Option 1 (vivo, Apple, Nokia, CTC, </w:t>
            </w:r>
            <w:proofErr w:type="gramStart"/>
            <w:r>
              <w:rPr>
                <w:rFonts w:eastAsia="SimSun"/>
              </w:rPr>
              <w:t>Ericsson(</w:t>
            </w:r>
            <w:proofErr w:type="gramEnd"/>
            <w:r>
              <w:rPr>
                <w:rFonts w:eastAsia="SimSun"/>
              </w:rPr>
              <w:t xml:space="preserve">only limit to serving cell measurement), CMCC, ZTE, MTK): Expand the solution 1 to </w:t>
            </w:r>
            <w:r>
              <w:rPr>
                <w:rFonts w:eastAsia="SimSun" w:cs="Arial"/>
                <w:bCs/>
              </w:rPr>
              <w:t>FR1 intra-band contiguous CA, i.e., measure one serving CC per FR1 band if all to-be-measured serving CCs in this FR1 band are contiguous.</w:t>
            </w:r>
          </w:p>
          <w:p w14:paraId="26F02688" w14:textId="77777777" w:rsidR="001B36B2" w:rsidRDefault="001B36B2" w:rsidP="001B36B2">
            <w:pPr>
              <w:pStyle w:val="ListParagraph"/>
              <w:numPr>
                <w:ilvl w:val="1"/>
                <w:numId w:val="63"/>
              </w:numPr>
              <w:overflowPunct w:val="0"/>
              <w:autoSpaceDE w:val="0"/>
              <w:autoSpaceDN w:val="0"/>
              <w:adjustRightInd w:val="0"/>
              <w:spacing w:after="120" w:line="240" w:lineRule="auto"/>
              <w:ind w:left="1080"/>
              <w:rPr>
                <w:rFonts w:eastAsia="SimSun"/>
              </w:rPr>
            </w:pPr>
            <w:r>
              <w:rPr>
                <w:rFonts w:eastAsia="SimSun"/>
              </w:rPr>
              <w:t xml:space="preserve">(Nokia) Network indicates to enable or disable this CSSF enhancement </w:t>
            </w:r>
            <w:proofErr w:type="gramStart"/>
            <w:r>
              <w:rPr>
                <w:rFonts w:eastAsia="SimSun"/>
              </w:rPr>
              <w:t>i.e.</w:t>
            </w:r>
            <w:proofErr w:type="gramEnd"/>
            <w:r>
              <w:rPr>
                <w:rFonts w:eastAsia="SimSun"/>
              </w:rPr>
              <w:t xml:space="preserve"> measuring one serving CC per band for FR1 and FR2 separately. </w:t>
            </w:r>
          </w:p>
          <w:p w14:paraId="660303A0" w14:textId="77777777" w:rsidR="001B36B2" w:rsidRDefault="001B36B2" w:rsidP="001B36B2">
            <w:pPr>
              <w:pStyle w:val="ListParagraph"/>
              <w:numPr>
                <w:ilvl w:val="1"/>
                <w:numId w:val="63"/>
              </w:numPr>
              <w:overflowPunct w:val="0"/>
              <w:autoSpaceDE w:val="0"/>
              <w:autoSpaceDN w:val="0"/>
              <w:adjustRightInd w:val="0"/>
              <w:spacing w:after="120" w:line="240" w:lineRule="auto"/>
              <w:ind w:left="1080"/>
              <w:rPr>
                <w:rFonts w:eastAsia="SimSun"/>
              </w:rPr>
            </w:pPr>
            <w:r>
              <w:rPr>
                <w:rFonts w:eastAsia="SimSun"/>
              </w:rPr>
              <w:t>(Ericsson):</w:t>
            </w:r>
            <w:r>
              <w:t xml:space="preserve"> </w:t>
            </w:r>
            <w:r>
              <w:rPr>
                <w:rFonts w:eastAsia="SimSun"/>
              </w:rPr>
              <w:t xml:space="preserve">limit the applicability to the serving cell </w:t>
            </w:r>
            <w:proofErr w:type="gramStart"/>
            <w:r>
              <w:rPr>
                <w:rFonts w:eastAsia="SimSun"/>
              </w:rPr>
              <w:t>measurements</w:t>
            </w:r>
            <w:proofErr w:type="gramEnd"/>
          </w:p>
          <w:p w14:paraId="1CAEF143" w14:textId="77777777" w:rsidR="001B36B2" w:rsidRDefault="001B36B2" w:rsidP="001B36B2">
            <w:pPr>
              <w:pStyle w:val="ListParagraph"/>
              <w:numPr>
                <w:ilvl w:val="1"/>
                <w:numId w:val="63"/>
              </w:numPr>
              <w:autoSpaceDN w:val="0"/>
              <w:spacing w:after="120" w:line="240" w:lineRule="auto"/>
              <w:ind w:left="1080"/>
              <w:rPr>
                <w:rFonts w:eastAsia="SimSun"/>
              </w:rPr>
            </w:pPr>
            <w:r>
              <w:rPr>
                <w:rFonts w:eastAsia="SimSun"/>
              </w:rPr>
              <w:t>(Nokia) RAN4 to discuss how to handle the neighbor cell measurement when network indicates to enable solution 1 for FR1 bands.</w:t>
            </w:r>
          </w:p>
          <w:p w14:paraId="0EAB94C6" w14:textId="48AD2858" w:rsidR="00F007AB" w:rsidRPr="001B36B2" w:rsidRDefault="001B36B2" w:rsidP="001B36B2">
            <w:pPr>
              <w:pStyle w:val="ListParagraph"/>
              <w:numPr>
                <w:ilvl w:val="0"/>
                <w:numId w:val="63"/>
              </w:numPr>
              <w:autoSpaceDN w:val="0"/>
              <w:spacing w:after="120" w:line="240" w:lineRule="auto"/>
              <w:ind w:left="360"/>
              <w:rPr>
                <w:rFonts w:eastAsia="SimSun"/>
              </w:rPr>
            </w:pPr>
            <w:r>
              <w:rPr>
                <w:rFonts w:eastAsia="SimSun"/>
              </w:rPr>
              <w:t>Option 2 (OPPO, CATT, HW, MTK):</w:t>
            </w:r>
            <w:r>
              <w:t xml:space="preserve"> </w:t>
            </w:r>
            <w:r>
              <w:rPr>
                <w:rFonts w:eastAsia="SimSun"/>
              </w:rPr>
              <w:t>Not to expand solution 1 to FR1 band</w:t>
            </w:r>
          </w:p>
        </w:tc>
      </w:tr>
    </w:tbl>
    <w:p w14:paraId="453FE1D2" w14:textId="77777777" w:rsidR="00F007AB" w:rsidRDefault="00F007AB" w:rsidP="004F0AE8">
      <w:pPr>
        <w:jc w:val="both"/>
        <w:rPr>
          <w:lang w:val="en-US"/>
        </w:rPr>
      </w:pPr>
    </w:p>
    <w:p w14:paraId="5D6280C5" w14:textId="77777777" w:rsidR="001B36B2" w:rsidRDefault="001B36B2" w:rsidP="004F0AE8">
      <w:pPr>
        <w:jc w:val="both"/>
        <w:rPr>
          <w:lang w:val="en-US"/>
        </w:rPr>
      </w:pPr>
      <w:r>
        <w:rPr>
          <w:lang w:val="en-US"/>
        </w:rPr>
        <w:t xml:space="preserve">For Issue 1-1-2, Solution#1 may or may not need two indications. The two indications are: </w:t>
      </w:r>
    </w:p>
    <w:p w14:paraId="0C80BBF9" w14:textId="46DBEA37" w:rsidR="001B36B2" w:rsidRDefault="001B36B2" w:rsidP="001B36B2">
      <w:pPr>
        <w:pStyle w:val="ListParagraph"/>
        <w:numPr>
          <w:ilvl w:val="0"/>
          <w:numId w:val="64"/>
        </w:numPr>
        <w:jc w:val="both"/>
        <w:rPr>
          <w:lang w:val="en-US"/>
        </w:rPr>
      </w:pPr>
      <w:r w:rsidRPr="001B36B2">
        <w:rPr>
          <w:lang w:val="en-US"/>
        </w:rPr>
        <w:t>One indication is</w:t>
      </w:r>
      <w:r>
        <w:rPr>
          <w:lang w:val="en-US"/>
        </w:rPr>
        <w:t xml:space="preserve"> for the NW</w:t>
      </w:r>
      <w:r w:rsidRPr="001B36B2">
        <w:rPr>
          <w:lang w:val="en-US"/>
        </w:rPr>
        <w:t xml:space="preserve"> to enable/disable this CSSF</w:t>
      </w:r>
      <w:r w:rsidRPr="001B36B2">
        <w:t xml:space="preserve"> </w:t>
      </w:r>
      <w:r w:rsidRPr="001B36B2">
        <w:rPr>
          <w:lang w:val="en-US"/>
        </w:rPr>
        <w:t xml:space="preserve">enhancement </w:t>
      </w:r>
      <w:r>
        <w:rPr>
          <w:lang w:val="en-US"/>
        </w:rPr>
        <w:t>(i.e., measure 1 CC per band).</w:t>
      </w:r>
    </w:p>
    <w:p w14:paraId="32A55EA8" w14:textId="2CC23A01" w:rsidR="001B36B2" w:rsidRDefault="001B36B2" w:rsidP="001B36B2">
      <w:pPr>
        <w:pStyle w:val="ListParagraph"/>
        <w:numPr>
          <w:ilvl w:val="0"/>
          <w:numId w:val="64"/>
        </w:numPr>
        <w:jc w:val="both"/>
        <w:rPr>
          <w:lang w:val="en-US"/>
        </w:rPr>
      </w:pPr>
      <w:r>
        <w:rPr>
          <w:lang w:val="en-US"/>
        </w:rPr>
        <w:t>A</w:t>
      </w:r>
      <w:r w:rsidRPr="001B36B2">
        <w:rPr>
          <w:lang w:val="en-US"/>
        </w:rPr>
        <w:t xml:space="preserve">nother one </w:t>
      </w:r>
      <w:r>
        <w:rPr>
          <w:lang w:val="en-US"/>
        </w:rPr>
        <w:t>is for NW</w:t>
      </w:r>
      <w:r w:rsidRPr="001B36B2">
        <w:rPr>
          <w:lang w:val="en-US"/>
        </w:rPr>
        <w:t xml:space="preserve"> </w:t>
      </w:r>
      <w:r>
        <w:rPr>
          <w:lang w:val="en-US"/>
        </w:rPr>
        <w:t xml:space="preserve">to indicate </w:t>
      </w:r>
      <w:r w:rsidRPr="001B36B2">
        <w:rPr>
          <w:lang w:val="en-US"/>
        </w:rPr>
        <w:t xml:space="preserve">specific SCC per-band </w:t>
      </w:r>
      <w:r>
        <w:rPr>
          <w:lang w:val="en-US"/>
        </w:rPr>
        <w:t>to be measured.</w:t>
      </w:r>
    </w:p>
    <w:p w14:paraId="4893458F" w14:textId="0B83A9DC" w:rsidR="001B36B2" w:rsidRDefault="001B36B2" w:rsidP="004F0AE8">
      <w:pPr>
        <w:jc w:val="both"/>
        <w:rPr>
          <w:lang w:val="en-US"/>
        </w:rPr>
      </w:pPr>
      <w:r>
        <w:rPr>
          <w:lang w:val="en-US"/>
        </w:rPr>
        <w:t>However, in our view both indications can be provided in one signaling and this signaling is preferred to be semi static such as RRC. This is also to avoid any additional processing delay might be needed if this indication was dynamic (i.e., activating/deactivating different CC every time if the indication was dynamic)</w:t>
      </w:r>
    </w:p>
    <w:p w14:paraId="19C94D3E" w14:textId="2B0F1146" w:rsidR="001B36B2" w:rsidRPr="00F64625" w:rsidRDefault="001B36B2" w:rsidP="004F0AE8">
      <w:pPr>
        <w:jc w:val="both"/>
        <w:rPr>
          <w:b/>
          <w:bCs/>
        </w:rPr>
      </w:pPr>
      <w:r>
        <w:rPr>
          <w:b/>
          <w:bCs/>
        </w:rPr>
        <w:t xml:space="preserve">Proposal 1: On NW indication for solution#1, RAN4 to consider single semi static signalling which can include both: 1) indication for </w:t>
      </w:r>
      <w:r w:rsidRPr="001B36B2">
        <w:rPr>
          <w:b/>
          <w:bCs/>
        </w:rPr>
        <w:t>enable/disable this CSSF enhancement</w:t>
      </w:r>
      <w:r>
        <w:rPr>
          <w:b/>
          <w:bCs/>
        </w:rPr>
        <w:t xml:space="preserve"> and 2) </w:t>
      </w:r>
      <w:r w:rsidRPr="001B36B2">
        <w:rPr>
          <w:b/>
          <w:bCs/>
        </w:rPr>
        <w:t xml:space="preserve">indicate </w:t>
      </w:r>
      <w:r>
        <w:rPr>
          <w:b/>
          <w:bCs/>
        </w:rPr>
        <w:t>which</w:t>
      </w:r>
      <w:r w:rsidRPr="001B36B2">
        <w:rPr>
          <w:b/>
          <w:bCs/>
        </w:rPr>
        <w:t xml:space="preserve"> SCC per-band to be measured.</w:t>
      </w:r>
    </w:p>
    <w:p w14:paraId="09D8EBD2" w14:textId="77777777" w:rsidR="001B36B2" w:rsidRDefault="001B36B2" w:rsidP="004F0AE8">
      <w:pPr>
        <w:jc w:val="both"/>
        <w:rPr>
          <w:lang w:val="en-US"/>
        </w:rPr>
      </w:pPr>
    </w:p>
    <w:p w14:paraId="129A170C" w14:textId="5ED722CA" w:rsidR="00F007AB" w:rsidRDefault="001B36B2" w:rsidP="004F0AE8">
      <w:pPr>
        <w:jc w:val="both"/>
        <w:rPr>
          <w:rFonts w:eastAsia="SimSun" w:cs="Arial"/>
          <w:bCs/>
        </w:rPr>
      </w:pPr>
      <w:r>
        <w:rPr>
          <w:lang w:val="en-US"/>
        </w:rPr>
        <w:t>For Issue 1-1-3,</w:t>
      </w:r>
      <w:r w:rsidR="00F007AB">
        <w:rPr>
          <w:lang w:val="en-US"/>
        </w:rPr>
        <w:t xml:space="preserve"> if RAN4 decide to expand solution#1 to FR1, we </w:t>
      </w:r>
      <w:r>
        <w:rPr>
          <w:lang w:val="en-US"/>
        </w:rPr>
        <w:t xml:space="preserve">support </w:t>
      </w:r>
      <w:r w:rsidR="00F007AB">
        <w:rPr>
          <w:lang w:val="en-US"/>
        </w:rPr>
        <w:t xml:space="preserve">to limit the applicability of solution#1 to </w:t>
      </w:r>
      <w:r w:rsidR="00F007AB">
        <w:rPr>
          <w:rFonts w:eastAsia="SimSun" w:cs="Arial"/>
          <w:bCs/>
        </w:rPr>
        <w:t>FR1 intra-band contiguous. Otherwise, we support not to expand solution#1 to FR1 band.</w:t>
      </w:r>
    </w:p>
    <w:p w14:paraId="4AD0CE6C" w14:textId="6338E90A" w:rsidR="00F007AB" w:rsidRPr="001B36B2" w:rsidRDefault="00F007AB" w:rsidP="00F007AB">
      <w:pPr>
        <w:jc w:val="both"/>
        <w:rPr>
          <w:b/>
          <w:bCs/>
        </w:rPr>
      </w:pPr>
      <w:r>
        <w:rPr>
          <w:b/>
          <w:bCs/>
        </w:rPr>
        <w:t xml:space="preserve">Proposal </w:t>
      </w:r>
      <w:r w:rsidR="00F64625">
        <w:rPr>
          <w:b/>
          <w:bCs/>
        </w:rPr>
        <w:t>2</w:t>
      </w:r>
      <w:r>
        <w:rPr>
          <w:b/>
          <w:bCs/>
        </w:rPr>
        <w:t xml:space="preserve">: Either not to support expanding solution#1 to FR1 or limit </w:t>
      </w:r>
      <w:r w:rsidRPr="00F007AB">
        <w:rPr>
          <w:b/>
          <w:bCs/>
        </w:rPr>
        <w:t>the applicability of solution#1 to FR1 intra-band contiguous</w:t>
      </w:r>
      <w:r w:rsidR="001B36B2">
        <w:rPr>
          <w:b/>
          <w:bCs/>
        </w:rPr>
        <w:t xml:space="preserve"> CA (</w:t>
      </w:r>
      <w:r w:rsidR="001B36B2" w:rsidRPr="001B36B2">
        <w:rPr>
          <w:b/>
          <w:bCs/>
        </w:rPr>
        <w:t>i.e., measure one serving CC per FR1 band if all to-be-measured serving CCs in this FR1 band are contiguous</w:t>
      </w:r>
      <w:r w:rsidR="001B36B2">
        <w:rPr>
          <w:b/>
          <w:bCs/>
        </w:rPr>
        <w:t>)</w:t>
      </w:r>
      <w:r>
        <w:rPr>
          <w:b/>
          <w:bCs/>
        </w:rPr>
        <w:t>.</w:t>
      </w:r>
    </w:p>
    <w:p w14:paraId="382E0197" w14:textId="77777777" w:rsidR="00F007AB" w:rsidRDefault="00F007AB" w:rsidP="004F0AE8">
      <w:pPr>
        <w:jc w:val="both"/>
        <w:rPr>
          <w:rFonts w:eastAsia="SimSun" w:cs="Arial"/>
          <w:bCs/>
          <w:lang w:val="en-US"/>
        </w:rPr>
      </w:pPr>
    </w:p>
    <w:p w14:paraId="2A3739F7" w14:textId="544A2EE6" w:rsidR="002634C9" w:rsidRPr="004D4F98" w:rsidRDefault="002634C9" w:rsidP="002634C9">
      <w:pPr>
        <w:pStyle w:val="Heading1"/>
        <w:rPr>
          <w:lang w:val="en-US"/>
        </w:rPr>
      </w:pPr>
      <w:r w:rsidRPr="004D4F98">
        <w:rPr>
          <w:lang w:val="en-US"/>
        </w:rPr>
        <w:lastRenderedPageBreak/>
        <w:t>Summary</w:t>
      </w:r>
    </w:p>
    <w:p w14:paraId="6C90A50E" w14:textId="7A337E60" w:rsidR="00A54369" w:rsidRPr="00D50514"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7C1B165F" w14:textId="77777777" w:rsidR="00F64625" w:rsidRDefault="00F64625" w:rsidP="00F64625">
      <w:pPr>
        <w:jc w:val="both"/>
        <w:rPr>
          <w:b/>
          <w:bCs/>
        </w:rPr>
      </w:pPr>
      <w:r>
        <w:rPr>
          <w:b/>
          <w:bCs/>
        </w:rPr>
        <w:t>Proposal 1: On NW indication for solution#1, RAN4 to consider single semi static signalling which can include both: 1) indication for enable/disable this CSSF enhancement and 2) indicate which SCC per-band to be measured.</w:t>
      </w:r>
    </w:p>
    <w:p w14:paraId="24F1EB2C" w14:textId="4A7F31F9" w:rsidR="00F64625" w:rsidRDefault="00F64625" w:rsidP="00F64625">
      <w:pPr>
        <w:jc w:val="both"/>
        <w:rPr>
          <w:b/>
          <w:bCs/>
        </w:rPr>
      </w:pPr>
      <w:r>
        <w:rPr>
          <w:b/>
          <w:bCs/>
        </w:rPr>
        <w:t>Proposal 2: Either not to support expanding solution#1 to FR1 or limit the applicability of solution#1 to FR1 intra-band contiguous CA (i.e., measure one serving CC per FR1 band if all to-be-measured serving CCs in this FR1 band are contiguous).</w:t>
      </w:r>
    </w:p>
    <w:p w14:paraId="44B79076" w14:textId="77777777" w:rsidR="00A54369" w:rsidRPr="00F64625"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33C70CB1" w14:textId="40522495" w:rsidR="00D42529" w:rsidRDefault="00D42529" w:rsidP="00FE3880">
      <w:pPr>
        <w:pStyle w:val="ListParagraph"/>
        <w:numPr>
          <w:ilvl w:val="0"/>
          <w:numId w:val="2"/>
        </w:numPr>
      </w:pPr>
      <w:bookmarkStart w:id="1" w:name="_Ref179206982"/>
      <w:bookmarkStart w:id="2" w:name="_Ref166497859"/>
      <w:r w:rsidRPr="00D42529">
        <w:t>RP-242380</w:t>
      </w:r>
      <w:r>
        <w:t xml:space="preserve">, </w:t>
      </w:r>
      <w:r w:rsidRPr="00D42529">
        <w:t>Revised WID: NR Radio Resource Management (RRM) Phase 5</w:t>
      </w:r>
      <w:r>
        <w:t>, Apple, CATT</w:t>
      </w:r>
      <w:bookmarkEnd w:id="1"/>
    </w:p>
    <w:p w14:paraId="48BD853C" w14:textId="59D100F2" w:rsidR="006A7A50" w:rsidRPr="001A5974" w:rsidRDefault="00206A5F" w:rsidP="00D50514">
      <w:pPr>
        <w:pStyle w:val="ListParagraph"/>
        <w:numPr>
          <w:ilvl w:val="0"/>
          <w:numId w:val="2"/>
        </w:numPr>
        <w:spacing w:line="256" w:lineRule="auto"/>
      </w:pPr>
      <w:bookmarkStart w:id="3" w:name="_Ref182018765"/>
      <w:bookmarkEnd w:id="2"/>
      <w:r>
        <w:t>R4-</w:t>
      </w:r>
      <w:r w:rsidR="001B36B2" w:rsidRPr="001B36B2">
        <w:t>2508264</w:t>
      </w:r>
      <w:r>
        <w:t xml:space="preserve">, </w:t>
      </w:r>
      <w:r w:rsidR="00F007AB" w:rsidRPr="00F007AB">
        <w:t>WF on RRM requirements for NR_RRM_Ph5_Part1</w:t>
      </w:r>
      <w:r>
        <w:t>, Apple</w:t>
      </w:r>
      <w:r w:rsidR="0048100C">
        <w:t>.</w:t>
      </w:r>
      <w:bookmarkEnd w:id="3"/>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B85B8" w14:textId="77777777" w:rsidR="001E1EE9" w:rsidRDefault="001E1EE9">
      <w:r>
        <w:separator/>
      </w:r>
    </w:p>
  </w:endnote>
  <w:endnote w:type="continuationSeparator" w:id="0">
    <w:p w14:paraId="65B29729" w14:textId="77777777" w:rsidR="001E1EE9" w:rsidRDefault="001E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6B31" w14:textId="77777777" w:rsidR="001E1EE9" w:rsidRDefault="001E1EE9">
      <w:r>
        <w:separator/>
      </w:r>
    </w:p>
  </w:footnote>
  <w:footnote w:type="continuationSeparator" w:id="0">
    <w:p w14:paraId="233A31FB" w14:textId="77777777" w:rsidR="001E1EE9" w:rsidRDefault="001E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343178"/>
    <w:multiLevelType w:val="hybridMultilevel"/>
    <w:tmpl w:val="F90A8AAE"/>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6"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CA4373"/>
    <w:multiLevelType w:val="hybridMultilevel"/>
    <w:tmpl w:val="A6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63207F"/>
    <w:multiLevelType w:val="hybridMultilevel"/>
    <w:tmpl w:val="B192AA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606A74"/>
    <w:multiLevelType w:val="hybridMultilevel"/>
    <w:tmpl w:val="53926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DF4E22"/>
    <w:multiLevelType w:val="hybridMultilevel"/>
    <w:tmpl w:val="4DD2D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7203B0F"/>
    <w:multiLevelType w:val="hybridMultilevel"/>
    <w:tmpl w:val="14741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B021DE"/>
    <w:multiLevelType w:val="hybridMultilevel"/>
    <w:tmpl w:val="169A6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6"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8"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9"/>
  </w:num>
  <w:num w:numId="2" w16cid:durableId="17387490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0"/>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23"/>
  </w:num>
  <w:num w:numId="6" w16cid:durableId="123088283">
    <w:abstractNumId w:val="26"/>
  </w:num>
  <w:num w:numId="7" w16cid:durableId="933320673">
    <w:abstractNumId w:val="11"/>
  </w:num>
  <w:num w:numId="8" w16cid:durableId="1639996714">
    <w:abstractNumId w:val="28"/>
  </w:num>
  <w:num w:numId="9" w16cid:durableId="913469679">
    <w:abstractNumId w:val="26"/>
  </w:num>
  <w:num w:numId="10" w16cid:durableId="1545212710">
    <w:abstractNumId w:val="28"/>
  </w:num>
  <w:num w:numId="11" w16cid:durableId="1093014052">
    <w:abstractNumId w:val="0"/>
  </w:num>
  <w:num w:numId="12" w16cid:durableId="1287157629">
    <w:abstractNumId w:val="10"/>
  </w:num>
  <w:num w:numId="13" w16cid:durableId="2027827007">
    <w:abstractNumId w:val="27"/>
  </w:num>
  <w:num w:numId="14" w16cid:durableId="797920952">
    <w:abstractNumId w:val="16"/>
  </w:num>
  <w:num w:numId="15" w16cid:durableId="1583298407">
    <w:abstractNumId w:val="16"/>
  </w:num>
  <w:num w:numId="16" w16cid:durableId="729232797">
    <w:abstractNumId w:val="38"/>
  </w:num>
  <w:num w:numId="17" w16cid:durableId="1809740761">
    <w:abstractNumId w:val="12"/>
  </w:num>
  <w:num w:numId="18" w16cid:durableId="284191857">
    <w:abstractNumId w:val="2"/>
  </w:num>
  <w:num w:numId="19" w16cid:durableId="401487208">
    <w:abstractNumId w:val="9"/>
  </w:num>
  <w:num w:numId="20" w16cid:durableId="1532840962">
    <w:abstractNumId w:val="35"/>
  </w:num>
  <w:num w:numId="21" w16cid:durableId="2037349397">
    <w:abstractNumId w:val="7"/>
  </w:num>
  <w:num w:numId="22" w16cid:durableId="1783374912">
    <w:abstractNumId w:val="24"/>
  </w:num>
  <w:num w:numId="23" w16cid:durableId="32459540">
    <w:abstractNumId w:val="16"/>
  </w:num>
  <w:num w:numId="24" w16cid:durableId="1333534701">
    <w:abstractNumId w:val="40"/>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22"/>
  </w:num>
  <w:num w:numId="32" w16cid:durableId="953901140">
    <w:abstractNumId w:val="22"/>
  </w:num>
  <w:num w:numId="33" w16cid:durableId="84957327">
    <w:abstractNumId w:val="22"/>
  </w:num>
  <w:num w:numId="34" w16cid:durableId="874000490">
    <w:abstractNumId w:val="6"/>
  </w:num>
  <w:num w:numId="35" w16cid:durableId="52344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34"/>
  </w:num>
  <w:num w:numId="40" w16cid:durableId="163130355">
    <w:abstractNumId w:val="34"/>
  </w:num>
  <w:num w:numId="41" w16cid:durableId="1750887054">
    <w:abstractNumId w:val="40"/>
  </w:num>
  <w:num w:numId="42" w16cid:durableId="1525482819">
    <w:abstractNumId w:val="3"/>
  </w:num>
  <w:num w:numId="43" w16cid:durableId="756436547">
    <w:abstractNumId w:val="30"/>
  </w:num>
  <w:num w:numId="44" w16cid:durableId="1975060488">
    <w:abstractNumId w:val="13"/>
  </w:num>
  <w:num w:numId="45" w16cid:durableId="39209876">
    <w:abstractNumId w:val="32"/>
  </w:num>
  <w:num w:numId="46" w16cid:durableId="308479266">
    <w:abstractNumId w:val="30"/>
  </w:num>
  <w:num w:numId="47" w16cid:durableId="2046909957">
    <w:abstractNumId w:val="33"/>
  </w:num>
  <w:num w:numId="48" w16cid:durableId="895051872">
    <w:abstractNumId w:val="36"/>
  </w:num>
  <w:num w:numId="49" w16cid:durableId="1081487369">
    <w:abstractNumId w:val="5"/>
  </w:num>
  <w:num w:numId="50" w16cid:durableId="721296149">
    <w:abstractNumId w:val="17"/>
  </w:num>
  <w:num w:numId="51" w16cid:durableId="753206661">
    <w:abstractNumId w:val="17"/>
  </w:num>
  <w:num w:numId="52" w16cid:durableId="774131340">
    <w:abstractNumId w:val="30"/>
  </w:num>
  <w:num w:numId="53" w16cid:durableId="1742487071">
    <w:abstractNumId w:val="17"/>
  </w:num>
  <w:num w:numId="54" w16cid:durableId="790709136">
    <w:abstractNumId w:val="21"/>
  </w:num>
  <w:num w:numId="55" w16cid:durableId="345252163">
    <w:abstractNumId w:val="19"/>
  </w:num>
  <w:num w:numId="56" w16cid:durableId="289365988">
    <w:abstractNumId w:val="19"/>
  </w:num>
  <w:num w:numId="57" w16cid:durableId="229311859">
    <w:abstractNumId w:val="30"/>
  </w:num>
  <w:num w:numId="58" w16cid:durableId="789322597">
    <w:abstractNumId w:val="18"/>
  </w:num>
  <w:num w:numId="59" w16cid:durableId="909845506">
    <w:abstractNumId w:val="29"/>
  </w:num>
  <w:num w:numId="60" w16cid:durableId="117575686">
    <w:abstractNumId w:val="31"/>
  </w:num>
  <w:num w:numId="61" w16cid:durableId="1071388446">
    <w:abstractNumId w:val="25"/>
  </w:num>
  <w:num w:numId="62" w16cid:durableId="1357850946">
    <w:abstractNumId w:val="30"/>
  </w:num>
  <w:num w:numId="63" w16cid:durableId="496922783">
    <w:abstractNumId w:val="30"/>
  </w:num>
  <w:num w:numId="64" w16cid:durableId="14022192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655"/>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5AB"/>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574EA"/>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6B2"/>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E9"/>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A5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5AB"/>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395"/>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0E"/>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AF5"/>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69C1"/>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5A"/>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84D"/>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40F3"/>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173"/>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47B"/>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A9C"/>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5E02"/>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0D3"/>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30F"/>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219"/>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DD3"/>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87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C0"/>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87D33"/>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167"/>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313"/>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CA3"/>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48"/>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514"/>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9D6"/>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7AB"/>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BE6"/>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0CE7"/>
    <w:rsid w:val="00F616C9"/>
    <w:rsid w:val="00F6176D"/>
    <w:rsid w:val="00F61828"/>
    <w:rsid w:val="00F61A8C"/>
    <w:rsid w:val="00F61C07"/>
    <w:rsid w:val="00F620CA"/>
    <w:rsid w:val="00F625A6"/>
    <w:rsid w:val="00F627AE"/>
    <w:rsid w:val="00F63671"/>
    <w:rsid w:val="00F63872"/>
    <w:rsid w:val="00F63B2C"/>
    <w:rsid w:val="00F645F9"/>
    <w:rsid w:val="00F64625"/>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6704"/>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AF5"/>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D4A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4AF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885150">
      <w:bodyDiv w:val="1"/>
      <w:marLeft w:val="0"/>
      <w:marRight w:val="0"/>
      <w:marTop w:val="0"/>
      <w:marBottom w:val="0"/>
      <w:divBdr>
        <w:top w:val="none" w:sz="0" w:space="0" w:color="auto"/>
        <w:left w:val="none" w:sz="0" w:space="0" w:color="auto"/>
        <w:bottom w:val="none" w:sz="0" w:space="0" w:color="auto"/>
        <w:right w:val="none" w:sz="0" w:space="0" w:color="auto"/>
      </w:divBdr>
    </w:div>
    <w:div w:id="30999279">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2772733">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552907">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837537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6116831">
      <w:bodyDiv w:val="1"/>
      <w:marLeft w:val="0"/>
      <w:marRight w:val="0"/>
      <w:marTop w:val="0"/>
      <w:marBottom w:val="0"/>
      <w:divBdr>
        <w:top w:val="none" w:sz="0" w:space="0" w:color="auto"/>
        <w:left w:val="none" w:sz="0" w:space="0" w:color="auto"/>
        <w:bottom w:val="none" w:sz="0" w:space="0" w:color="auto"/>
        <w:right w:val="none" w:sz="0" w:space="0" w:color="auto"/>
      </w:divBdr>
    </w:div>
    <w:div w:id="174736167">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7199611">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757763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3946600">
      <w:bodyDiv w:val="1"/>
      <w:marLeft w:val="0"/>
      <w:marRight w:val="0"/>
      <w:marTop w:val="0"/>
      <w:marBottom w:val="0"/>
      <w:divBdr>
        <w:top w:val="none" w:sz="0" w:space="0" w:color="auto"/>
        <w:left w:val="none" w:sz="0" w:space="0" w:color="auto"/>
        <w:bottom w:val="none" w:sz="0" w:space="0" w:color="auto"/>
        <w:right w:val="none" w:sz="0" w:space="0" w:color="auto"/>
      </w:divBdr>
    </w:div>
    <w:div w:id="692148052">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2438418">
      <w:bodyDiv w:val="1"/>
      <w:marLeft w:val="0"/>
      <w:marRight w:val="0"/>
      <w:marTop w:val="0"/>
      <w:marBottom w:val="0"/>
      <w:divBdr>
        <w:top w:val="none" w:sz="0" w:space="0" w:color="auto"/>
        <w:left w:val="none" w:sz="0" w:space="0" w:color="auto"/>
        <w:bottom w:val="none" w:sz="0" w:space="0" w:color="auto"/>
        <w:right w:val="none" w:sz="0" w:space="0" w:color="auto"/>
      </w:divBdr>
    </w:div>
    <w:div w:id="71343040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5977153">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6311486">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21816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21586484">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15990">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2338359">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5828062">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6656714">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3289040">
      <w:bodyDiv w:val="1"/>
      <w:marLeft w:val="0"/>
      <w:marRight w:val="0"/>
      <w:marTop w:val="0"/>
      <w:marBottom w:val="0"/>
      <w:divBdr>
        <w:top w:val="none" w:sz="0" w:space="0" w:color="auto"/>
        <w:left w:val="none" w:sz="0" w:space="0" w:color="auto"/>
        <w:bottom w:val="none" w:sz="0" w:space="0" w:color="auto"/>
        <w:right w:val="none" w:sz="0" w:space="0" w:color="auto"/>
      </w:divBdr>
    </w:div>
    <w:div w:id="1300040789">
      <w:bodyDiv w:val="1"/>
      <w:marLeft w:val="0"/>
      <w:marRight w:val="0"/>
      <w:marTop w:val="0"/>
      <w:marBottom w:val="0"/>
      <w:divBdr>
        <w:top w:val="none" w:sz="0" w:space="0" w:color="auto"/>
        <w:left w:val="none" w:sz="0" w:space="0" w:color="auto"/>
        <w:bottom w:val="none" w:sz="0" w:space="0" w:color="auto"/>
        <w:right w:val="none" w:sz="0" w:space="0" w:color="auto"/>
      </w:divBdr>
    </w:div>
    <w:div w:id="1303270494">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9118717">
      <w:bodyDiv w:val="1"/>
      <w:marLeft w:val="0"/>
      <w:marRight w:val="0"/>
      <w:marTop w:val="0"/>
      <w:marBottom w:val="0"/>
      <w:divBdr>
        <w:top w:val="none" w:sz="0" w:space="0" w:color="auto"/>
        <w:left w:val="none" w:sz="0" w:space="0" w:color="auto"/>
        <w:bottom w:val="none" w:sz="0" w:space="0" w:color="auto"/>
        <w:right w:val="none" w:sz="0" w:space="0" w:color="auto"/>
      </w:divBdr>
    </w:div>
    <w:div w:id="1330451948">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341643">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5102876">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2963607">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769183">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0900974">
      <w:bodyDiv w:val="1"/>
      <w:marLeft w:val="0"/>
      <w:marRight w:val="0"/>
      <w:marTop w:val="0"/>
      <w:marBottom w:val="0"/>
      <w:divBdr>
        <w:top w:val="none" w:sz="0" w:space="0" w:color="auto"/>
        <w:left w:val="none" w:sz="0" w:space="0" w:color="auto"/>
        <w:bottom w:val="none" w:sz="0" w:space="0" w:color="auto"/>
        <w:right w:val="none" w:sz="0" w:space="0" w:color="auto"/>
      </w:divBdr>
    </w:div>
    <w:div w:id="1543397029">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16057134">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0380058">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6932153">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56172818">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6992237">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1946224">
      <w:bodyDiv w:val="1"/>
      <w:marLeft w:val="0"/>
      <w:marRight w:val="0"/>
      <w:marTop w:val="0"/>
      <w:marBottom w:val="0"/>
      <w:divBdr>
        <w:top w:val="none" w:sz="0" w:space="0" w:color="auto"/>
        <w:left w:val="none" w:sz="0" w:space="0" w:color="auto"/>
        <w:bottom w:val="none" w:sz="0" w:space="0" w:color="auto"/>
        <w:right w:val="none" w:sz="0" w:space="0" w:color="auto"/>
      </w:divBdr>
    </w:div>
    <w:div w:id="1816951742">
      <w:bodyDiv w:val="1"/>
      <w:marLeft w:val="0"/>
      <w:marRight w:val="0"/>
      <w:marTop w:val="0"/>
      <w:marBottom w:val="0"/>
      <w:divBdr>
        <w:top w:val="none" w:sz="0" w:space="0" w:color="auto"/>
        <w:left w:val="none" w:sz="0" w:space="0" w:color="auto"/>
        <w:bottom w:val="none" w:sz="0" w:space="0" w:color="auto"/>
        <w:right w:val="none" w:sz="0" w:space="0" w:color="auto"/>
      </w:divBdr>
    </w:div>
    <w:div w:id="1817334609">
      <w:bodyDiv w:val="1"/>
      <w:marLeft w:val="0"/>
      <w:marRight w:val="0"/>
      <w:marTop w:val="0"/>
      <w:marBottom w:val="0"/>
      <w:divBdr>
        <w:top w:val="none" w:sz="0" w:space="0" w:color="auto"/>
        <w:left w:val="none" w:sz="0" w:space="0" w:color="auto"/>
        <w:bottom w:val="none" w:sz="0" w:space="0" w:color="auto"/>
        <w:right w:val="none" w:sz="0" w:space="0" w:color="auto"/>
      </w:divBdr>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1332745">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5431195">
      <w:bodyDiv w:val="1"/>
      <w:marLeft w:val="0"/>
      <w:marRight w:val="0"/>
      <w:marTop w:val="0"/>
      <w:marBottom w:val="0"/>
      <w:divBdr>
        <w:top w:val="none" w:sz="0" w:space="0" w:color="auto"/>
        <w:left w:val="none" w:sz="0" w:space="0" w:color="auto"/>
        <w:bottom w:val="none" w:sz="0" w:space="0" w:color="auto"/>
        <w:right w:val="none" w:sz="0" w:space="0" w:color="auto"/>
      </w:divBdr>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0749334">
      <w:bodyDiv w:val="1"/>
      <w:marLeft w:val="0"/>
      <w:marRight w:val="0"/>
      <w:marTop w:val="0"/>
      <w:marBottom w:val="0"/>
      <w:divBdr>
        <w:top w:val="none" w:sz="0" w:space="0" w:color="auto"/>
        <w:left w:val="none" w:sz="0" w:space="0" w:color="auto"/>
        <w:bottom w:val="none" w:sz="0" w:space="0" w:color="auto"/>
        <w:right w:val="none" w:sz="0" w:space="0" w:color="auto"/>
      </w:divBdr>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7925447">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985795">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2025-08-15T23:45:00Z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